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70A7" w:rsidRPr="00E55A9F" w:rsidRDefault="00FB3A15">
      <w:pPr>
        <w:rPr>
          <w:b/>
          <w:sz w:val="20"/>
          <w:szCs w:val="20"/>
        </w:rPr>
      </w:pPr>
      <w:bookmarkStart w:id="0" w:name="_GoBack"/>
      <w:bookmarkEnd w:id="0"/>
      <w:r w:rsidRPr="00E55A9F">
        <w:rPr>
          <w:b/>
          <w:sz w:val="20"/>
          <w:szCs w:val="20"/>
        </w:rPr>
        <w:t xml:space="preserve">Annex O: </w:t>
      </w:r>
      <w:r w:rsidR="00F5429A" w:rsidRPr="00E55A9F">
        <w:rPr>
          <w:b/>
          <w:sz w:val="20"/>
          <w:szCs w:val="20"/>
        </w:rPr>
        <w:t xml:space="preserve">C-SAP 2 PIMS5821 </w:t>
      </w:r>
      <w:proofErr w:type="spellStart"/>
      <w:r w:rsidRPr="00E55A9F">
        <w:rPr>
          <w:b/>
          <w:sz w:val="20"/>
          <w:szCs w:val="20"/>
        </w:rPr>
        <w:t>Yangpu</w:t>
      </w:r>
      <w:proofErr w:type="spellEnd"/>
      <w:r w:rsidRPr="00E55A9F">
        <w:rPr>
          <w:b/>
          <w:sz w:val="20"/>
          <w:szCs w:val="20"/>
        </w:rPr>
        <w:t xml:space="preserve"> port scorecard</w:t>
      </w:r>
    </w:p>
    <w:p w:rsidR="00FB3A15" w:rsidRDefault="00FB3A15"/>
    <w:tbl>
      <w:tblPr>
        <w:tblW w:w="13883" w:type="dxa"/>
        <w:tblInd w:w="-38" w:type="dxa"/>
        <w:tblLayout w:type="fixed"/>
        <w:tblLook w:val="0000" w:firstRow="0" w:lastRow="0" w:firstColumn="0" w:lastColumn="0" w:noHBand="0" w:noVBand="0"/>
      </w:tblPr>
      <w:tblGrid>
        <w:gridCol w:w="1203"/>
        <w:gridCol w:w="5130"/>
        <w:gridCol w:w="845"/>
        <w:gridCol w:w="855"/>
        <w:gridCol w:w="900"/>
        <w:gridCol w:w="774"/>
        <w:gridCol w:w="6"/>
        <w:gridCol w:w="4170"/>
      </w:tblGrid>
      <w:tr w:rsidR="00FB3A15" w:rsidRPr="00FB3A15" w:rsidTr="00FB3A15">
        <w:trPr>
          <w:trHeight w:val="202"/>
        </w:trPr>
        <w:tc>
          <w:tcPr>
            <w:tcW w:w="6333" w:type="dxa"/>
            <w:gridSpan w:val="2"/>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 xml:space="preserve">Project: </w:t>
            </w:r>
            <w:r w:rsidRPr="00FB3A15">
              <w:rPr>
                <w:rFonts w:ascii="Calibri" w:hAnsi="Calibri" w:cs="Calibri"/>
                <w:color w:val="000000"/>
                <w:sz w:val="18"/>
                <w:szCs w:val="18"/>
              </w:rPr>
              <w:t>Strengthening coordinated approaches to reduce invasive alien species (IAS) threats to globally significant agrobiodiversity and agroecosystems in China, PIMS 5821</w:t>
            </w:r>
          </w:p>
        </w:tc>
        <w:tc>
          <w:tcPr>
            <w:tcW w:w="3380" w:type="dxa"/>
            <w:gridSpan w:val="5"/>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rsidP="00FB3A15">
            <w:pPr>
              <w:autoSpaceDE w:val="0"/>
              <w:autoSpaceDN w:val="0"/>
              <w:adjustRightInd w:val="0"/>
              <w:rPr>
                <w:rFonts w:ascii="Calibri" w:hAnsi="Calibri" w:cs="Calibri"/>
                <w:b/>
                <w:bCs/>
                <w:color w:val="000000"/>
                <w:sz w:val="18"/>
                <w:szCs w:val="18"/>
              </w:rPr>
            </w:pPr>
            <w:r w:rsidRPr="00FB3A15">
              <w:rPr>
                <w:rFonts w:ascii="Calibri" w:hAnsi="Calibri" w:cs="Calibri"/>
                <w:b/>
                <w:bCs/>
                <w:color w:val="000000"/>
                <w:sz w:val="18"/>
                <w:szCs w:val="18"/>
              </w:rPr>
              <w:t>Date:</w:t>
            </w:r>
            <w:r>
              <w:rPr>
                <w:rFonts w:ascii="Calibri" w:hAnsi="Calibri" w:cs="Calibri"/>
                <w:b/>
                <w:bCs/>
                <w:color w:val="000000"/>
                <w:sz w:val="18"/>
                <w:szCs w:val="18"/>
              </w:rPr>
              <w:t xml:space="preserve"> </w:t>
            </w:r>
            <w:r w:rsidRPr="00FB3A15">
              <w:rPr>
                <w:rFonts w:ascii="Calibri" w:hAnsi="Calibri" w:cs="Calibri"/>
                <w:b/>
                <w:bCs/>
                <w:color w:val="000000"/>
                <w:sz w:val="18"/>
                <w:szCs w:val="18"/>
              </w:rPr>
              <w:t>Jun</w:t>
            </w:r>
            <w:r>
              <w:rPr>
                <w:rFonts w:ascii="Calibri" w:hAnsi="Calibri" w:cs="Calibri"/>
                <w:b/>
                <w:bCs/>
                <w:color w:val="000000"/>
                <w:sz w:val="18"/>
                <w:szCs w:val="18"/>
              </w:rPr>
              <w:t>e</w:t>
            </w:r>
            <w:r w:rsidRPr="00FB3A15">
              <w:rPr>
                <w:rFonts w:ascii="Calibri" w:hAnsi="Calibri" w:cs="Calibri"/>
                <w:b/>
                <w:bCs/>
                <w:color w:val="000000"/>
                <w:sz w:val="18"/>
                <w:szCs w:val="18"/>
              </w:rPr>
              <w:t xml:space="preserve"> 2018</w:t>
            </w:r>
          </w:p>
        </w:tc>
        <w:tc>
          <w:tcPr>
            <w:tcW w:w="417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r>
      <w:tr w:rsidR="00FB3A15" w:rsidRPr="00FB3A15" w:rsidTr="00FB3A15">
        <w:trPr>
          <w:trHeight w:val="202"/>
        </w:trPr>
        <w:tc>
          <w:tcPr>
            <w:tcW w:w="1203"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color w:val="000000"/>
                <w:sz w:val="18"/>
                <w:szCs w:val="18"/>
              </w:rPr>
            </w:pPr>
          </w:p>
        </w:tc>
        <w:tc>
          <w:tcPr>
            <w:tcW w:w="84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right"/>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90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774"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4176"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r>
      <w:tr w:rsidR="00FB3A15" w:rsidRPr="00FB3A15" w:rsidTr="00FB3A15">
        <w:trPr>
          <w:trHeight w:val="202"/>
        </w:trPr>
        <w:tc>
          <w:tcPr>
            <w:tcW w:w="1203"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Capacity Indicator</w:t>
            </w:r>
          </w:p>
        </w:tc>
        <w:tc>
          <w:tcPr>
            <w:tcW w:w="513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Staged Indicators</w:t>
            </w:r>
          </w:p>
        </w:tc>
        <w:tc>
          <w:tcPr>
            <w:tcW w:w="84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Rating</w:t>
            </w:r>
          </w:p>
        </w:tc>
        <w:tc>
          <w:tcPr>
            <w:tcW w:w="85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Baseline</w:t>
            </w:r>
          </w:p>
        </w:tc>
        <w:tc>
          <w:tcPr>
            <w:tcW w:w="90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Midterm</w:t>
            </w:r>
          </w:p>
        </w:tc>
        <w:tc>
          <w:tcPr>
            <w:tcW w:w="774"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End</w:t>
            </w:r>
          </w:p>
        </w:tc>
        <w:tc>
          <w:tcPr>
            <w:tcW w:w="4176" w:type="dxa"/>
            <w:gridSpan w:val="2"/>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Comments</w:t>
            </w:r>
          </w:p>
        </w:tc>
      </w:tr>
      <w:tr w:rsidR="00FB3A15" w:rsidRPr="00FB3A15" w:rsidTr="00FB3A15">
        <w:trPr>
          <w:trHeight w:val="202"/>
        </w:trPr>
        <w:tc>
          <w:tcPr>
            <w:tcW w:w="1203"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84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Score</w:t>
            </w:r>
          </w:p>
        </w:tc>
        <w:tc>
          <w:tcPr>
            <w:tcW w:w="90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Score</w:t>
            </w:r>
          </w:p>
        </w:tc>
        <w:tc>
          <w:tcPr>
            <w:tcW w:w="774"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Score</w:t>
            </w:r>
          </w:p>
        </w:tc>
        <w:tc>
          <w:tcPr>
            <w:tcW w:w="4176" w:type="dxa"/>
            <w:gridSpan w:val="2"/>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jc w:val="center"/>
              <w:rPr>
                <w:rFonts w:ascii="Calibri" w:hAnsi="Calibri" w:cs="Calibri"/>
                <w:b/>
                <w:bCs/>
                <w:color w:val="000000"/>
                <w:sz w:val="18"/>
                <w:szCs w:val="18"/>
              </w:rPr>
            </w:pPr>
          </w:p>
        </w:tc>
      </w:tr>
      <w:tr w:rsidR="00FB3A15" w:rsidRPr="00FB3A15" w:rsidTr="00FB3A15">
        <w:trPr>
          <w:trHeight w:val="202"/>
        </w:trPr>
        <w:tc>
          <w:tcPr>
            <w:tcW w:w="1203"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84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900"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774" w:type="dxa"/>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c>
          <w:tcPr>
            <w:tcW w:w="4176" w:type="dxa"/>
            <w:gridSpan w:val="2"/>
            <w:tcBorders>
              <w:top w:val="single" w:sz="4" w:space="0" w:color="auto"/>
              <w:left w:val="single" w:sz="4" w:space="0" w:color="auto"/>
              <w:bottom w:val="single" w:sz="4" w:space="0" w:color="auto"/>
              <w:right w:val="single" w:sz="4" w:space="0" w:color="auto"/>
            </w:tcBorders>
            <w:shd w:val="solid" w:color="FFFFFF" w:fill="auto"/>
          </w:tcPr>
          <w:p w:rsidR="00FB3A15" w:rsidRPr="00FB3A15" w:rsidRDefault="00FB3A15">
            <w:pPr>
              <w:autoSpaceDE w:val="0"/>
              <w:autoSpaceDN w:val="0"/>
              <w:adjustRightInd w:val="0"/>
              <w:rPr>
                <w:rFonts w:ascii="Calibri" w:hAnsi="Calibri" w:cs="Calibri"/>
                <w:b/>
                <w:bCs/>
                <w:color w:val="000000"/>
                <w:sz w:val="18"/>
                <w:szCs w:val="18"/>
              </w:rPr>
            </w:pPr>
          </w:p>
        </w:tc>
      </w:tr>
      <w:tr w:rsidR="00FB3A15" w:rsidRPr="00FB3A15" w:rsidTr="00FB3A15">
        <w:trPr>
          <w:trHeight w:val="588"/>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1</w:t>
            </w:r>
            <w:r w:rsidRPr="00FB3A15">
              <w:rPr>
                <w:rFonts w:ascii="Calibri" w:hAnsi="Calibri" w:cs="Calibri"/>
                <w:color w:val="000000"/>
                <w:sz w:val="18"/>
                <w:szCs w:val="18"/>
              </w:rPr>
              <w:t>: Existence of cooperation between port staff or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is no cooperation between port staff working on different aspects of IAS inspection, identification, quarantine disposal etc.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4176" w:type="dxa"/>
            <w:gridSpan w:val="2"/>
            <w:vMerge w:val="restart"/>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Each step of IAS management has specific implementation department. For example, the inspection and identification step is completed by the IAS official competent department, and  whether the quarantine treatment is necessary or not is decided during quarantine processing by the official competent department, and the specific implementation is undertaken by the third party company. Personnel of government departments and personnel of third-party companies shall cooperate temporarily according to the situation.</w:t>
            </w:r>
          </w:p>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Cooperation between port staff working on different aspects of IAS inspection, identification, quarantine disposal etc. is limited</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Cooperation between port staff working on different aspects of IAS inspection, identification, quarantine disposal etc. happens regularly but on an ad hoc basis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Cooperation between port staff working on different aspects of IAS inspection, identification, quarantine disposal etc. is day to day.</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2:</w:t>
            </w:r>
            <w:r w:rsidRPr="00FB3A15">
              <w:rPr>
                <w:rFonts w:ascii="Calibri" w:hAnsi="Calibri" w:cs="Calibri"/>
                <w:color w:val="000000"/>
                <w:sz w:val="18"/>
                <w:szCs w:val="18"/>
              </w:rPr>
              <w:t xml:space="preserve"> Degree of IAS awareness among staff and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Port staff and employees working with IAS Management are not aware of IAS and their negative impact on ecology and economy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Port staff have some understanding of the impact of IAS. According to their different occupations and positions, their understanding of the impact of IAS is also different. For example, the personnel engaged in IAS management have a deeper understanding of the impact of IAS due to their professional background and work experience. However, due to their different educational background and positions, the general port staff have a limited understanding of the impact of IAS. Through this project, the propaganda, education and training of port staff and IAS managers will be strengthened so as to have a profound understanding of the negative impacts of IAS on ecology and economy and to raise their awareness of IAS and its impacts.</w:t>
            </w: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Port staff and employees working with IAS Management have limited understanding of IAS and their negative impact on ecology and economy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Port staff and employees working with IAS Management have some understading IAS and their negative impact on ecology and economy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54"/>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Port staff and employees working with IAS Management are noood understanding of IAS and their negative impact on ecology and economy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3</w:t>
            </w:r>
            <w:r w:rsidRPr="00FB3A15">
              <w:rPr>
                <w:rFonts w:ascii="Calibri" w:hAnsi="Calibri" w:cs="Calibri"/>
                <w:color w:val="000000"/>
                <w:sz w:val="18"/>
                <w:szCs w:val="18"/>
              </w:rPr>
              <w:t xml:space="preserve">: Access to  </w:t>
            </w:r>
            <w:r w:rsidRPr="00FB3A15">
              <w:rPr>
                <w:rFonts w:ascii="Calibri" w:hAnsi="Calibri" w:cs="Calibri"/>
                <w:color w:val="000000"/>
                <w:sz w:val="18"/>
                <w:szCs w:val="18"/>
              </w:rPr>
              <w:lastRenderedPageBreak/>
              <w:t>relevant IAS information for staff  and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lastRenderedPageBreak/>
              <w:t xml:space="preserve">There are no IAS related information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 access to IAS information is relatively single, and the relevant information can only be queried through </w:t>
            </w:r>
            <w:r w:rsidRPr="00FB3A15">
              <w:rPr>
                <w:rFonts w:ascii="Calibri" w:hAnsi="Calibri" w:cs="Calibri"/>
                <w:color w:val="000000"/>
                <w:sz w:val="18"/>
                <w:szCs w:val="18"/>
              </w:rPr>
              <w:lastRenderedPageBreak/>
              <w:t>domestic websites and databases. It is suggested that the construction of on-site equipment (mobile terminal) be strengthened so as to facilitate on-site staff to inquire IAS related information at the first time. Through this project, in the medium term, IAS retrieval platform abroad can be established to facilitate laboratory IAS appraisers to obtain relevant information from foreign websites, strengthen the construction of field law enforcement equipment (mobile terminal) in the later period, develop mobile terminal app, integrate IAS information data at home and abroad, so that staff and IAS managers can easily access a large amount of IAS information.</w:t>
            </w: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are some IAS related information available for staff and employees working on IAS Management, but not easy accessible.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are some easy accessible IAS related information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A larger subset of easy accessible IAS related information are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4</w:t>
            </w:r>
            <w:r w:rsidRPr="00FB3A15">
              <w:rPr>
                <w:rFonts w:ascii="Calibri" w:hAnsi="Calibri" w:cs="Calibri"/>
                <w:color w:val="000000"/>
                <w:sz w:val="18"/>
                <w:szCs w:val="18"/>
              </w:rPr>
              <w:t>: Access to job related IAS trainings for new and/or existing staff and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are no IAS related trainings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Regular training in IAS is available. It is suggested that targeted training should be developed according to the situation of import and export goods and IAS interception at each port.</w:t>
            </w: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are some IAS related trainings available for staff and employees working on IAS Management, but not easy accessible.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1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There are some easy accessible IAS related trainings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A larger subset of easy accessible IAS related trainings are available for staff and employees working on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5</w:t>
            </w:r>
            <w:r w:rsidRPr="00FB3A15">
              <w:rPr>
                <w:rFonts w:ascii="Calibri" w:hAnsi="Calibri" w:cs="Calibri"/>
                <w:color w:val="000000"/>
                <w:sz w:val="18"/>
                <w:szCs w:val="18"/>
              </w:rPr>
              <w:t>: Port operating in compliance with national/provincial/local IAS regulatory frameworks and guidance.</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port operation related to IAS Management is not in compliance with  national/provincial/local IAS regulatory frameworks and guidance.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Yangpu Port has improved its IAS management in recent years, but due to its early construction and limited by objective conditions, only the port operation related to IAS management conforms to the national IAS regulatory framework and guidelines.</w:t>
            </w:r>
          </w:p>
        </w:tc>
      </w:tr>
      <w:tr w:rsidR="00FB3A15" w:rsidRPr="00FB3A15" w:rsidTr="00FB3A15">
        <w:trPr>
          <w:trHeight w:val="46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port operation related to IAS Management is complying in a limited way with national/provincial/local IAS regulatory frameworks and guidance.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port operation related to IAS Management is mostly in compliance with national/provincial/local IAS regulatory frameworks and guidance.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port operation related to IAS Management is fully compliant with national/provincial/local IAS regulatory frameworks and guidance.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7:</w:t>
            </w:r>
            <w:r w:rsidRPr="00FB3A15">
              <w:rPr>
                <w:rFonts w:ascii="Calibri" w:hAnsi="Calibri" w:cs="Calibri"/>
                <w:color w:val="000000"/>
                <w:sz w:val="18"/>
                <w:szCs w:val="18"/>
              </w:rPr>
              <w:t xml:space="preserve"> Availability of required  technology to assist staff or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 port does not have the needed technologies to deliver an effective and efficient safeguard against IAS spreading from the port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IAS management department has formulated a series of IAS prevention and control programs, and has stockpiled prevention and control materials, and regularly organized port personnel to conduct IAS prevention and control knowledge training and skills drills. Through this project, we can collect and sort out all the necessary technologies for IAS inspection, identification and quarantine treatment, establish relevant platforms or databases, collect most of the necessary technologies in the medium term, complete the collection of all necessary technologies in the later stage, and facilitate the port and IAS managers to acquire all the necessary technologies.</w:t>
            </w: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 port has some of the needed technologies to deliver an effective and efficient safeguard against IAS spreading from the port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 port has most of the needed technologies to deliver an effective and efficient safeguard against IAS spreading from the port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46"/>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The port has a full set of technologies to deliver an effective and efficient safeguard against IAS spreading from the port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8:</w:t>
            </w:r>
            <w:r w:rsidRPr="00FB3A15">
              <w:rPr>
                <w:rFonts w:ascii="Calibri" w:hAnsi="Calibri" w:cs="Calibri"/>
                <w:color w:val="000000"/>
                <w:sz w:val="18"/>
                <w:szCs w:val="18"/>
              </w:rPr>
              <w:t xml:space="preserve"> Technical skills by staff or employees working with IAS inspection, identification, quarantine disposal etc.</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Port staff and employees involved in IAS Management does not have the necessary required skills to effectively meet job requirements.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At present, most of the port staff have the necessary skills required for their work, but the competence level of the staff is uneven. Through this project, the skills and skills training of port staff and IAS managers will be strengthened. In the mid-term, all IAS managers will be trained to improve their ability of IAS on-site inspection, identification and quarantine treatment. In the latter stage, all port staff and IAS managers will be trained to meet the requirements of the work effectively.</w:t>
            </w: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Some port staff and employees involved in IAS Management have the necessary required skills to effectively meet job requirements.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Most port staff and employees involved in IAS Management have the necessary required skills to effectively meet job requirements.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All port staff and employees involved in IAS Management have the necessary required skills to effectively meet job requirements.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b/>
                <w:bCs/>
                <w:color w:val="000000"/>
                <w:sz w:val="18"/>
                <w:szCs w:val="18"/>
              </w:rPr>
              <w:t>Indicator 9</w:t>
            </w:r>
            <w:r w:rsidRPr="00FB3A15">
              <w:rPr>
                <w:rFonts w:ascii="Calibri" w:hAnsi="Calibri" w:cs="Calibri"/>
                <w:color w:val="000000"/>
                <w:sz w:val="18"/>
                <w:szCs w:val="18"/>
              </w:rPr>
              <w:t xml:space="preserve">: Adequacy of the evaluation of IAS Management in the port </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No or ineffective evaluations are being conducted to evaluate the ports IAS Management</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0</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4176" w:type="dxa"/>
            <w:gridSpan w:val="2"/>
            <w:vMerge w:val="restart"/>
            <w:tcBorders>
              <w:top w:val="single" w:sz="4" w:space="0" w:color="auto"/>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The harbour IAS management department will input the data of IAS interception and monitoring in Yangpu Harbour to database, and chinese academy of inspection and quarantine will do the statistic analysis. After the analysis results are reported to the higher authorities, the competent authorities put forward relevant measures for next year in the annual report based on the epidemic situation.</w:t>
            </w:r>
          </w:p>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403"/>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Evaluation activities to evaluate the ports IAS Management are irregularly conducted</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1</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605"/>
        </w:trPr>
        <w:tc>
          <w:tcPr>
            <w:tcW w:w="1203" w:type="dxa"/>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Evaluations are being conducted regularly, but the evaluation results are seldom used in the decision makers related to improvements in the ports capabilities to manage IAS</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2</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605"/>
        </w:trPr>
        <w:tc>
          <w:tcPr>
            <w:tcW w:w="1203" w:type="dxa"/>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r w:rsidRPr="00FB3A15">
              <w:rPr>
                <w:rFonts w:ascii="Calibri" w:hAnsi="Calibri" w:cs="Calibri"/>
                <w:color w:val="000000"/>
                <w:sz w:val="18"/>
                <w:szCs w:val="18"/>
              </w:rPr>
              <w:t xml:space="preserve">Evaluations are being conducted regularly, but the evaluation results are used in the decision makers related to improvements in the ports capabilities to manage IAS Management </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r w:rsidRPr="00FB3A15">
              <w:rPr>
                <w:rFonts w:ascii="Calibri" w:hAnsi="Calibri" w:cs="Calibri"/>
                <w:color w:val="000000"/>
                <w:sz w:val="18"/>
                <w:szCs w:val="18"/>
              </w:rPr>
              <w:t>3</w:t>
            </w: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color w:val="000000"/>
                <w:sz w:val="18"/>
                <w:szCs w:val="18"/>
              </w:rPr>
            </w:pPr>
          </w:p>
        </w:tc>
        <w:tc>
          <w:tcPr>
            <w:tcW w:w="4176" w:type="dxa"/>
            <w:gridSpan w:val="2"/>
            <w:vMerge/>
            <w:tcBorders>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202"/>
        </w:trPr>
        <w:tc>
          <w:tcPr>
            <w:tcW w:w="6333"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r w:rsidRPr="00FB3A15">
              <w:rPr>
                <w:rFonts w:ascii="Calibri" w:hAnsi="Calibri" w:cs="Calibri"/>
                <w:b/>
                <w:bCs/>
                <w:color w:val="000000"/>
                <w:sz w:val="18"/>
                <w:szCs w:val="18"/>
              </w:rPr>
              <w:t>Maximum Possible Score: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27</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27</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27</w:t>
            </w:r>
          </w:p>
        </w:tc>
        <w:tc>
          <w:tcPr>
            <w:tcW w:w="4176"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202"/>
        </w:trPr>
        <w:tc>
          <w:tcPr>
            <w:tcW w:w="1203"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r w:rsidRPr="00FB3A15">
              <w:rPr>
                <w:rFonts w:ascii="Calibri" w:hAnsi="Calibri" w:cs="Calibri"/>
                <w:b/>
                <w:bCs/>
                <w:color w:val="000000"/>
                <w:sz w:val="18"/>
                <w:szCs w:val="18"/>
              </w:rPr>
              <w:t>Score:</w:t>
            </w:r>
          </w:p>
        </w:tc>
        <w:tc>
          <w:tcPr>
            <w:tcW w:w="513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11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16</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20</w:t>
            </w:r>
          </w:p>
        </w:tc>
        <w:tc>
          <w:tcPr>
            <w:tcW w:w="4176"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r w:rsidR="00FB3A15" w:rsidRPr="00FB3A15" w:rsidTr="00FB3A15">
        <w:trPr>
          <w:trHeight w:val="202"/>
        </w:trPr>
        <w:tc>
          <w:tcPr>
            <w:tcW w:w="6333"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r w:rsidRPr="00FB3A15">
              <w:rPr>
                <w:rFonts w:ascii="Calibri" w:hAnsi="Calibri" w:cs="Calibri"/>
                <w:b/>
                <w:bCs/>
                <w:color w:val="000000"/>
                <w:sz w:val="18"/>
                <w:szCs w:val="18"/>
              </w:rPr>
              <w:t>Percentage of maximum possible score:</w:t>
            </w:r>
          </w:p>
        </w:tc>
        <w:tc>
          <w:tcPr>
            <w:tcW w:w="84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right"/>
              <w:rPr>
                <w:rFonts w:ascii="Calibri" w:hAnsi="Calibri" w:cs="Calibri"/>
                <w:b/>
                <w:bCs/>
                <w:color w:val="000000"/>
                <w:sz w:val="18"/>
                <w:szCs w:val="18"/>
              </w:rPr>
            </w:pPr>
          </w:p>
        </w:tc>
        <w:tc>
          <w:tcPr>
            <w:tcW w:w="855"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41%</w:t>
            </w:r>
          </w:p>
        </w:tc>
        <w:tc>
          <w:tcPr>
            <w:tcW w:w="900"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59%</w:t>
            </w:r>
          </w:p>
        </w:tc>
        <w:tc>
          <w:tcPr>
            <w:tcW w:w="774" w:type="dxa"/>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jc w:val="center"/>
              <w:rPr>
                <w:rFonts w:ascii="Calibri" w:hAnsi="Calibri" w:cs="Calibri"/>
                <w:b/>
                <w:bCs/>
                <w:color w:val="000000"/>
                <w:sz w:val="18"/>
                <w:szCs w:val="18"/>
              </w:rPr>
            </w:pPr>
            <w:r w:rsidRPr="00FB3A15">
              <w:rPr>
                <w:rFonts w:ascii="Calibri" w:hAnsi="Calibri" w:cs="Calibri"/>
                <w:b/>
                <w:bCs/>
                <w:color w:val="000000"/>
                <w:sz w:val="18"/>
                <w:szCs w:val="18"/>
              </w:rPr>
              <w:t>74%</w:t>
            </w:r>
          </w:p>
        </w:tc>
        <w:tc>
          <w:tcPr>
            <w:tcW w:w="4176" w:type="dxa"/>
            <w:gridSpan w:val="2"/>
            <w:tcBorders>
              <w:top w:val="single" w:sz="4" w:space="0" w:color="auto"/>
              <w:left w:val="single" w:sz="4" w:space="0" w:color="auto"/>
              <w:bottom w:val="single" w:sz="4" w:space="0" w:color="auto"/>
              <w:right w:val="single" w:sz="4" w:space="0" w:color="auto"/>
            </w:tcBorders>
          </w:tcPr>
          <w:p w:rsidR="00FB3A15" w:rsidRPr="00FB3A15" w:rsidRDefault="00FB3A15">
            <w:pPr>
              <w:autoSpaceDE w:val="0"/>
              <w:autoSpaceDN w:val="0"/>
              <w:adjustRightInd w:val="0"/>
              <w:rPr>
                <w:rFonts w:ascii="Calibri" w:hAnsi="Calibri" w:cs="Calibri"/>
                <w:color w:val="000000"/>
                <w:sz w:val="18"/>
                <w:szCs w:val="18"/>
              </w:rPr>
            </w:pPr>
          </w:p>
        </w:tc>
      </w:tr>
    </w:tbl>
    <w:p w:rsidR="00FB3A15" w:rsidRDefault="00FB3A15" w:rsidP="00FB3A15"/>
    <w:sectPr w:rsidR="00FB3A15" w:rsidSect="00FB3A15">
      <w:pgSz w:w="16838" w:h="11906"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A15"/>
    <w:rsid w:val="001670A7"/>
    <w:rsid w:val="00B46EF2"/>
    <w:rsid w:val="00E55A9F"/>
    <w:rsid w:val="00F5429A"/>
    <w:rsid w:val="00FB3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2B34D0-78C0-4DC4-901C-61BE0E30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O C-SAP 2 PIMS5821 Yangpu port scoreceard 0104 2019 ver 1</DocumentTitle>
  </documentManagement>
</p:properties>
</file>

<file path=customXml/itemProps1.xml><?xml version="1.0" encoding="utf-8"?>
<ds:datastoreItem xmlns:ds="http://schemas.openxmlformats.org/officeDocument/2006/customXml" ds:itemID="{295D61C9-EC2C-442C-85C1-B39B87765C6F}"/>
</file>

<file path=customXml/itemProps2.xml><?xml version="1.0" encoding="utf-8"?>
<ds:datastoreItem xmlns:ds="http://schemas.openxmlformats.org/officeDocument/2006/customXml" ds:itemID="{67B1029C-EA8C-4BB4-8A8E-980339DC29A0}"/>
</file>

<file path=customXml/itemProps3.xml><?xml version="1.0" encoding="utf-8"?>
<ds:datastoreItem xmlns:ds="http://schemas.openxmlformats.org/officeDocument/2006/customXml" ds:itemID="{BDE82D57-6358-44C8-8B6C-0E6D6AF75732}"/>
</file>

<file path=docProps/app.xml><?xml version="1.0" encoding="utf-8"?>
<Properties xmlns="http://schemas.openxmlformats.org/officeDocument/2006/extended-properties" xmlns:vt="http://schemas.openxmlformats.org/officeDocument/2006/docPropsVTypes">
  <Template>Normal.dotm</Template>
  <TotalTime>0</TotalTime>
  <Pages>3</Pages>
  <Words>1481</Words>
  <Characters>8446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2019-04-02T20:50:00Z</dcterms:created>
  <dcterms:modified xsi:type="dcterms:W3CDTF">2019-04-02T20:50:00Z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